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rPr>
          <w:rFonts w:ascii="Calibri" w:hAnsi="Calibri"/>
          <w:b/>
          <w:i w:val="0"/>
          <w:color w:val="147A6B"/>
          <w:sz w:val="26"/>
        </w:rPr>
        <w:t>PLG SUITE</w:t>
      </w:r>
    </w:p>
    <w:p>
      <w:pPr>
        <w:jc w:val="center"/>
      </w:pPr>
      <w:r>
        <w:rPr>
          <w:rFonts w:ascii="Calibri" w:hAnsi="Calibri"/>
          <w:b/>
          <w:i w:val="0"/>
          <w:color w:val="1F4E79"/>
          <w:sz w:val="60"/>
        </w:rPr>
        <w:t>Demo Video Scripts</w:t>
      </w:r>
    </w:p>
    <w:p>
      <w:pPr>
        <w:jc w:val="center"/>
      </w:pPr>
      <w:r>
        <w:rPr>
          <w:rFonts w:ascii="Calibri" w:hAnsi="Calibri"/>
          <w:b w:val="0"/>
          <w:i/>
          <w:color w:val="606060"/>
          <w:sz w:val="26"/>
        </w:rPr>
        <w:t>Shot-by-shot 60-second demos for all five products</w:t>
      </w:r>
    </w:p>
    <w:p>
      <w:pPr>
        <w:jc w:val="center"/>
      </w:pPr>
      <w:r>
        <w:rPr>
          <w:rFonts w:ascii="Calibri" w:hAnsi="Calibri"/>
          <w:b w:val="0"/>
          <w:i w:val="0"/>
          <w:color w:val="606060"/>
          <w:sz w:val="22"/>
        </w:rPr>
        <w:t>Production-ready briefs for a video editor, Synthesia, or Loom · June 2026</w:t>
      </w:r>
    </w:p>
    <w:p>
      <w:r>
        <w:br w:type="page"/>
      </w:r>
    </w:p>
    <w:p>
      <w:pPr>
        <w:pStyle w:val="Heading1"/>
      </w:pPr>
      <w:r>
        <w:t>How to use these scripts</w:t>
      </w:r>
    </w:p>
    <w:p>
      <w:pPr>
        <w:pStyle w:val="ListBullet"/>
      </w:pPr>
      <w:r>
        <w:rPr>
          <w:rFonts w:ascii="Calibri" w:hAnsi="Calibri"/>
          <w:b w:val="0"/>
          <w:i w:val="0"/>
          <w:sz w:val="21"/>
        </w:rPr>
        <w:t>Each product has a 60-second script in six ~10-second scenes. Columns: the timecode, the visual / B-roll to capture or generate, the on-screen text (lower-third caption), and the voiceover line.</w:t>
      </w:r>
    </w:p>
    <w:p>
      <w:pPr>
        <w:pStyle w:val="ListBullet"/>
      </w:pPr>
      <w:r>
        <w:rPr>
          <w:rFonts w:ascii="Calibri" w:hAnsi="Calibri"/>
          <w:b w:val="0"/>
          <w:i w:val="0"/>
          <w:sz w:val="21"/>
        </w:rPr>
        <w:t>Format: 16:9, ~60s. Keep on-screen text to the caption shown. One clear value point per scene. End every video on the CTA.</w:t>
      </w:r>
    </w:p>
    <w:p>
      <w:pPr>
        <w:pStyle w:val="ListBullet"/>
      </w:pPr>
      <w:r>
        <w:rPr>
          <w:rFonts w:ascii="Calibri" w:hAnsi="Calibri"/>
          <w:b w:val="0"/>
          <w:i w:val="0"/>
          <w:sz w:val="21"/>
        </w:rPr>
        <w:t>Voiceover: warm, confident, ~140 wpm. Localize language per market (e.g., Swahili/Arabic) where relevant.</w:t>
      </w:r>
    </w:p>
    <w:p>
      <w:pPr>
        <w:pStyle w:val="ListBullet"/>
      </w:pPr>
      <w:r>
        <w:rPr>
          <w:rFonts w:ascii="Calibri" w:hAnsi="Calibri"/>
          <w:b w:val="0"/>
          <w:i w:val="0"/>
          <w:sz w:val="21"/>
        </w:rPr>
        <w:t>These mirror the animated demo in each product’s Interactive Journey (Stage 1 → ‘60-sec demo’ tab) — use that as the motion reference.</w:t>
      </w:r>
    </w:p>
    <w:p>
      <w:r>
        <w:br w:type="page"/>
      </w:r>
    </w:p>
    <w:p>
      <w:pPr>
        <w:pStyle w:val="Heading1"/>
      </w:pPr>
      <w:r>
        <w:t>AiCare — 60-Second Demo</w:t>
      </w:r>
    </w:p>
    <w:p>
      <w:r>
        <w:rPr>
          <w:rFonts w:ascii="Calibri" w:hAnsi="Calibri"/>
          <w:b w:val="0"/>
          <w:i/>
          <w:color w:val="606060"/>
          <w:sz w:val="21"/>
        </w:rPr>
        <w:t>Cloud EMR for clinics — Kenya-first · persona: Dr. Amina, Nairobi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1008"/>
            <w:shd w:val="clear" w:color="auto" w:fill="1E5A96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Time</w:t>
            </w:r>
          </w:p>
        </w:tc>
        <w:tc>
          <w:tcPr>
            <w:tcW w:type="dxa" w:w="3600"/>
            <w:shd w:val="clear" w:color="auto" w:fill="1E5A96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Visual / B-roll</w:t>
            </w:r>
          </w:p>
        </w:tc>
        <w:tc>
          <w:tcPr>
            <w:tcW w:type="dxa" w:w="2304"/>
            <w:shd w:val="clear" w:color="auto" w:fill="1E5A96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On-screen text</w:t>
            </w:r>
          </w:p>
        </w:tc>
        <w:tc>
          <w:tcPr>
            <w:tcW w:type="dxa" w:w="3024"/>
            <w:shd w:val="clear" w:color="auto" w:fill="1E5A96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Voiceover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0:00–0:10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Bright Nairobi clinic; a clinician taps a tablet. AiCare logo animates in.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AiCare — the EMR built for African clinics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Running a clinic shouldn’t mean drowning in paperwork.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0:10–0:20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Screen capture: a new patient added (name, age, phone) and saved in seconds.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Add a patient in 10 seconds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Add patients in seconds — from any device.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0:20–0:30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Doctor types symptoms; the AiGuide panel suggests tests with confidence scores.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AiGuide suggests the right tests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AiGuide recommends guideline-backed tests — you stay in control.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0:30–0:40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Padlock + outline of Kenya; an “encrypted in Kenya” badge pulses.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Every record encrypted in Kenya 🇰🇪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Your patients’ data stays in Kenya — encrypted and KDPA-compliant.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0:40–0:50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A clinician leaves on time; a simple bar chart rises to “8 hrs/week”.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Clinics save ~8 hours every week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Clinics save about eight hours a week — more patients, less admin.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0:50–1:00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Clean CTA card: “Start free”, URL aicare.health.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Try it free — no card needed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Start your free trial today. No card needed.</w:t>
            </w:r>
          </w:p>
        </w:tc>
      </w:tr>
    </w:tbl>
    <w:p>
      <w:r>
        <w:rPr>
          <w:rFonts w:ascii="Calibri" w:hAnsi="Calibri"/>
          <w:b w:val="0"/>
          <w:i/>
          <w:color w:val="606060"/>
          <w:sz w:val="17"/>
        </w:rPr>
        <w:t>Total ≈ 60s · end card holds the CTA for ~3s · add captions for silent autoplay.</w:t>
      </w:r>
    </w:p>
    <w:p>
      <w:r>
        <w:br w:type="page"/>
      </w:r>
    </w:p>
    <w:p>
      <w:pPr>
        <w:pStyle w:val="Heading1"/>
      </w:pPr>
      <w:r>
        <w:t>AiCode — 60-Second Demo</w:t>
      </w:r>
    </w:p>
    <w:p>
      <w:r>
        <w:rPr>
          <w:rFonts w:ascii="Calibri" w:hAnsi="Calibri"/>
          <w:b w:val="0"/>
          <w:i/>
          <w:color w:val="606060"/>
          <w:sz w:val="21"/>
        </w:rPr>
        <w:t>ICD-10/CPT medical coding AI — US hospitals · persona: Grace (HIM) / James (coder)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1008"/>
            <w:shd w:val="clear" w:color="auto" w:fill="B8860B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Time</w:t>
            </w:r>
          </w:p>
        </w:tc>
        <w:tc>
          <w:tcPr>
            <w:tcW w:type="dxa" w:w="3600"/>
            <w:shd w:val="clear" w:color="auto" w:fill="B8860B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Visual / B-roll</w:t>
            </w:r>
          </w:p>
        </w:tc>
        <w:tc>
          <w:tcPr>
            <w:tcW w:type="dxa" w:w="2304"/>
            <w:shd w:val="clear" w:color="auto" w:fill="B8860B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On-screen text</w:t>
            </w:r>
          </w:p>
        </w:tc>
        <w:tc>
          <w:tcPr>
            <w:tcW w:type="dxa" w:w="3024"/>
            <w:shd w:val="clear" w:color="auto" w:fill="B8860B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Voiceover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0:00–0:10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Busy hospital HIM office; a coder faces a tall stack of charts. AiCode logo in.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AiCode — ICD-10 / CPT coding AI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Coding backlogs cost hospitals time and revenue.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0:10–0:20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A chart is uploaded; AiCode highlights extracted diagnoses and procedures.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Upload a chart — AI extracts dx + procedures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Drop in a chart; AiCode reads it instantly.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0:20–0:30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Side-by-side view: AiCode codes with confidence vs manual; coder clicks Approve.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Codes with confidence — coder approves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It proposes codes with confidence scores; your coder approves.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0:30–0:40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Accuracy dial moves 87% → 94%; a “denial” stamp turns to “clean claim”.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94% vs 87% — fewer denials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94% first-pass accuracy means fewer denials and faster cash.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0:40–0:50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US map + padlock + “HIPAA / BAA”; an audit-log scrolls.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HIPAA — charts stay in the US, audit-ready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Fully HIPAA-ready, with an audit-ready trail for every code.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0:50–1:00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CTA card: “Start free”, aicode.health; “~3 hrs/coder/day saved”.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Start free — save ~3 hrs/coder/day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See it on your own charts. Start free today.</w:t>
            </w:r>
          </w:p>
        </w:tc>
      </w:tr>
    </w:tbl>
    <w:p>
      <w:r>
        <w:rPr>
          <w:rFonts w:ascii="Calibri" w:hAnsi="Calibri"/>
          <w:b w:val="0"/>
          <w:i/>
          <w:color w:val="606060"/>
          <w:sz w:val="17"/>
        </w:rPr>
        <w:t>Total ≈ 60s · end card holds the CTA for ~3s · add captions for silent autoplay.</w:t>
      </w:r>
    </w:p>
    <w:p>
      <w:r>
        <w:br w:type="page"/>
      </w:r>
    </w:p>
    <w:p>
      <w:pPr>
        <w:pStyle w:val="Heading1"/>
      </w:pPr>
      <w:r>
        <w:t>AiGuide — 60-Second Demo</w:t>
      </w:r>
    </w:p>
    <w:p>
      <w:r>
        <w:rPr>
          <w:rFonts w:ascii="Calibri" w:hAnsi="Calibri"/>
          <w:b w:val="0"/>
          <w:i/>
          <w:color w:val="606060"/>
          <w:sz w:val="21"/>
        </w:rPr>
        <w:t>Clinical order recommendations — KE/EG/AE · persona: Dr. Fatima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1008"/>
            <w:shd w:val="clear" w:color="auto" w:fill="147A6B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Time</w:t>
            </w:r>
          </w:p>
        </w:tc>
        <w:tc>
          <w:tcPr>
            <w:tcW w:type="dxa" w:w="3600"/>
            <w:shd w:val="clear" w:color="auto" w:fill="147A6B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Visual / B-roll</w:t>
            </w:r>
          </w:p>
        </w:tc>
        <w:tc>
          <w:tcPr>
            <w:tcW w:type="dxa" w:w="2304"/>
            <w:shd w:val="clear" w:color="auto" w:fill="147A6B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On-screen text</w:t>
            </w:r>
          </w:p>
        </w:tc>
        <w:tc>
          <w:tcPr>
            <w:tcW w:type="dxa" w:w="3024"/>
            <w:shd w:val="clear" w:color="auto" w:fill="147A6B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Voiceover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0:00–0:10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A doctor mid-consult, patient waiting; AiGuide logo in.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AiGuide — clinical order recommendations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Every consult, big decisions — fast.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0:10–0:20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Doctor enters symptoms: “fever, cough, recent travel”.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Enter symptoms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Just enter the symptoms.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0:20–0:30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Grounded suggestions appear with rationale + confidence (Malaria RDT 94%…).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Get grounded suggestions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Get guideline-backed tests and meds — grounded in your country’s formulary.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0:30–0:40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An interaction/allergy warning pops; doctor nods.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Safety checks built in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Built-in allergy and interaction checks catch what’s easy to miss.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0:40–0:50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Doctor taps Approve; an order is placed; a clock shows ~6 min saved.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You approve — ~6 min saved / visit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You approve every order — and save about six minutes a visit.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0:50–1:00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CTA card: “Try AiGuide free”.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Try AiGuide free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Like a senior physician at your shoulder. Try it free.</w:t>
            </w:r>
          </w:p>
        </w:tc>
      </w:tr>
    </w:tbl>
    <w:p>
      <w:r>
        <w:rPr>
          <w:rFonts w:ascii="Calibri" w:hAnsi="Calibri"/>
          <w:b w:val="0"/>
          <w:i/>
          <w:color w:val="606060"/>
          <w:sz w:val="17"/>
        </w:rPr>
        <w:t>Total ≈ 60s · end card holds the CTA for ~3s · add captions for silent autoplay.</w:t>
      </w:r>
    </w:p>
    <w:p>
      <w:r>
        <w:br w:type="page"/>
      </w:r>
    </w:p>
    <w:p>
      <w:pPr>
        <w:pStyle w:val="Heading1"/>
      </w:pPr>
      <w:r>
        <w:t>AiReview — 60-Second Demo</w:t>
      </w:r>
    </w:p>
    <w:p>
      <w:r>
        <w:rPr>
          <w:rFonts w:ascii="Calibri" w:hAnsi="Calibri"/>
          <w:b w:val="0"/>
          <w:i/>
          <w:color w:val="606060"/>
          <w:sz w:val="21"/>
        </w:rPr>
        <w:t>Agentic FWA / fraud detection — US payers · persona: VP Compliance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1008"/>
            <w:shd w:val="clear" w:color="auto" w:fill="A32D2D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Time</w:t>
            </w:r>
          </w:p>
        </w:tc>
        <w:tc>
          <w:tcPr>
            <w:tcW w:type="dxa" w:w="3600"/>
            <w:shd w:val="clear" w:color="auto" w:fill="A32D2D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Visual / B-roll</w:t>
            </w:r>
          </w:p>
        </w:tc>
        <w:tc>
          <w:tcPr>
            <w:tcW w:type="dxa" w:w="2304"/>
            <w:shd w:val="clear" w:color="auto" w:fill="A32D2D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On-screen text</w:t>
            </w:r>
          </w:p>
        </w:tc>
        <w:tc>
          <w:tcPr>
            <w:tcW w:type="dxa" w:w="3024"/>
            <w:shd w:val="clear" w:color="auto" w:fill="A32D2D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Voiceover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0:00–0:10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Stylized stream of thousands of claims flowing; AiReview logo in.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AiReview — agentic FWA detection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Payers lose billions to fraud, waste and abuse.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0:10–0:20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Claims feed in via a secure API; a shield scans the stream.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Feed your claims — securely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Securely connect your claims — no rip-and-replace.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0:20–0:30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Suspicious claims light up: “repeat surgery &lt;30d”, “Rx for deceased member”.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Patterns humans miss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AiReview surfaces patterns rules and humans miss.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0:30–0:40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A flagged claim shows a plain-English reason + confidence + $ overpayment.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Explainable flags — reason + confidence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Every flag is explainable — reason, confidence, dollars at risk.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0:40–0:50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A counter spins up to “$1.88M projected” / “37× ROI”.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Millions recovered — proven in a 2-week POC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See the recovery on your own claims — in a two-week POC.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0:50–1:00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CTA card: “Request a POC”.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Request a POC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See ROI before you commit. Request a POC.</w:t>
            </w:r>
          </w:p>
        </w:tc>
      </w:tr>
    </w:tbl>
    <w:p>
      <w:r>
        <w:rPr>
          <w:rFonts w:ascii="Calibri" w:hAnsi="Calibri"/>
          <w:b w:val="0"/>
          <w:i/>
          <w:color w:val="606060"/>
          <w:sz w:val="17"/>
        </w:rPr>
        <w:t>Total ≈ 60s · end card holds the CTA for ~3s · add captions for silent autoplay.</w:t>
      </w:r>
    </w:p>
    <w:p>
      <w:r>
        <w:br w:type="page"/>
      </w:r>
    </w:p>
    <w:p>
      <w:pPr>
        <w:pStyle w:val="Heading1"/>
      </w:pPr>
      <w:r>
        <w:t>Gazal — 60-Second Demo</w:t>
      </w:r>
    </w:p>
    <w:p>
      <w:r>
        <w:rPr>
          <w:rFonts w:ascii="Calibri" w:hAnsi="Calibri"/>
          <w:b w:val="0"/>
          <w:i/>
          <w:color w:val="606060"/>
          <w:sz w:val="21"/>
        </w:rPr>
        <w:t>Healthcare LLM API — MENA developers · persona: Khalid (dev)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1008"/>
            <w:shd w:val="clear" w:color="auto" w:fill="5B3B9E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Time</w:t>
            </w:r>
          </w:p>
        </w:tc>
        <w:tc>
          <w:tcPr>
            <w:tcW w:type="dxa" w:w="3600"/>
            <w:shd w:val="clear" w:color="auto" w:fill="5B3B9E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Visual / B-roll</w:t>
            </w:r>
          </w:p>
        </w:tc>
        <w:tc>
          <w:tcPr>
            <w:tcW w:type="dxa" w:w="2304"/>
            <w:shd w:val="clear" w:color="auto" w:fill="5B3B9E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On-screen text</w:t>
            </w:r>
          </w:p>
        </w:tc>
        <w:tc>
          <w:tcPr>
            <w:tcW w:type="dxa" w:w="3024"/>
            <w:shd w:val="clear" w:color="auto" w:fill="5B3B9E"/>
          </w:tcPr>
          <w:p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Voiceover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0:00–0:10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A developer’s dark IDE; Gazal logo in.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Gazal — healthcare LLM API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Generic LLMs aren’t built for healthcare — or your region.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0:10–0:20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Terminal: OAuth login → an API key appears instantly.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Get a key instantly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Sign in, get a key instantly — ten dollars of free credits.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0:20–0:30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A curl request runs; an OpenAI-compatible JSON response returns in ~800ms.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First call in minutes — OpenAI-compatible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Drop in a familiar API and get a clinical response in milliseconds.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0:30–0:40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Response highlights medications with an “SFDA ✓” formulary tag.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Formulary-aware (SFDA / UAE / EDA)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Medication suggestions are validated against your market’s formulary.</w:t>
            </w:r>
          </w:p>
        </w:tc>
      </w:tr>
      <w:tr>
        <w:tc>
          <w:tcPr>
            <w:tcW w:type="dxa" w:w="1008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0:40–0:50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An Azure Middle East region badge + “in-region, PDPL” lock.</w:t>
            </w:r>
          </w:p>
        </w:tc>
        <w:tc>
          <w:tcPr>
            <w:tcW w:type="dxa" w:w="2304"/>
          </w:tcPr>
          <w:p>
            <w:r>
              <w:rPr>
                <w:rFonts w:ascii="Calibri" w:hAnsi="Calibri"/>
                <w:b/>
                <w:i w:val="0"/>
                <w:sz w:val="18"/>
              </w:rPr>
              <w:t>In-region (Azure ME) · PDPL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Hosted in-region, PDPL-compliant — your data never leaves the boundary.</w:t>
            </w:r>
          </w:p>
        </w:tc>
      </w:tr>
      <w:tr>
        <w:tc>
          <w:tcPr>
            <w:tcW w:type="dxa" w:w="1008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0:50–1:00</w:t>
            </w:r>
          </w:p>
        </w:tc>
        <w:tc>
          <w:tcPr>
            <w:tcW w:type="dxa" w:w="3600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CTA card: “Get an API key”, gazal.io; “~33% cheaper than GPT-4”.</w:t>
            </w:r>
          </w:p>
        </w:tc>
        <w:tc>
          <w:tcPr>
            <w:tcW w:type="dxa" w:w="2304"/>
            <w:shd w:val="clear" w:color="auto" w:fill="F4F7FB"/>
          </w:tcPr>
          <w:p>
            <w:r>
              <w:rPr>
                <w:rFonts w:ascii="Calibri" w:hAnsi="Calibri"/>
                <w:b/>
                <w:i w:val="0"/>
                <w:sz w:val="18"/>
              </w:rPr>
              <w:t>Free $10 credits — get an API key</w:t>
            </w:r>
          </w:p>
        </w:tc>
        <w:tc>
          <w:tcPr>
            <w:tcW w:type="dxa" w:w="3024"/>
            <w:shd w:val="clear" w:color="auto" w:fill="F4F7FB"/>
          </w:tcPr>
          <w:p>
            <w:r>
              <w:rPr>
                <w:rFonts w:ascii="Calibri" w:hAnsi="Calibri"/>
                <w:b w:val="0"/>
                <w:i w:val="0"/>
                <w:sz w:val="18"/>
              </w:rPr>
              <w:t>Healthcare AI, in your region, in an afternoon. Start free.</w:t>
            </w:r>
          </w:p>
        </w:tc>
      </w:tr>
    </w:tbl>
    <w:p>
      <w:r>
        <w:rPr>
          <w:rFonts w:ascii="Calibri" w:hAnsi="Calibri"/>
          <w:b w:val="0"/>
          <w:i/>
          <w:color w:val="606060"/>
          <w:sz w:val="17"/>
        </w:rPr>
        <w:t>Total ≈ 60s · end card holds the CTA for ~3s · add captions for silent autoplay.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0202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F4E79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F4E7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